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ADA6" w14:textId="77777777" w:rsidR="00166FFE" w:rsidRPr="0031221C" w:rsidRDefault="00A1733E" w:rsidP="006A78BA">
      <w:pPr>
        <w:pStyle w:val="Annexetitre"/>
        <w:rPr>
          <w:sz w:val="28"/>
          <w:szCs w:val="28"/>
          <w:u w:val="none"/>
        </w:rPr>
      </w:pPr>
      <w:r>
        <w:rPr>
          <w:sz w:val="28"/>
          <w:u w:val="none"/>
        </w:rPr>
        <w:t>PRILOG II.</w:t>
      </w:r>
    </w:p>
    <w:p w14:paraId="3EED48F6" w14:textId="77777777" w:rsidR="00A1733E" w:rsidRPr="0031221C" w:rsidRDefault="00A1733E" w:rsidP="006A78BA">
      <w:pPr>
        <w:pStyle w:val="Annexetitre"/>
        <w:rPr>
          <w:u w:val="none"/>
        </w:rPr>
      </w:pPr>
      <w:r>
        <w:rPr>
          <w:u w:val="none"/>
        </w:rPr>
        <w:t>„PRILOG XXXVIII.</w:t>
      </w:r>
    </w:p>
    <w:p w14:paraId="77F10DF1" w14:textId="10384F48" w:rsidR="006A78BA" w:rsidRPr="0031221C" w:rsidRDefault="0078309E" w:rsidP="006A78BA">
      <w:pPr>
        <w:pStyle w:val="Annexetitre"/>
        <w:rPr>
          <w:u w:val="none"/>
        </w:rPr>
      </w:pPr>
      <w:r>
        <w:rPr>
          <w:u w:val="none"/>
        </w:rPr>
        <w:t>Upute za obrasce za objavu informacija o kamatnom riziku za pozicije koje se ne drže u knjizi trgovanja</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rFonts w:ascii="Times New Roman" w:hAnsi="Times New Roman"/>
          <w:bCs/>
          <w:sz w:val="24"/>
        </w:rPr>
      </w:pPr>
      <w:r>
        <w:rPr>
          <w:rFonts w:ascii="Times New Roman" w:hAnsi="Times New Roman"/>
          <w:b/>
          <w:sz w:val="24"/>
        </w:rPr>
        <w:t xml:space="preserve">Upute za objavu informacija u obrascu EU IRRBBA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rFonts w:ascii="Calibri" w:eastAsia="Times New Roman" w:hAnsi="Calibri" w:cs="Times New Roman"/>
          <w:color w:val="000000"/>
          <w:szCs w:val="22"/>
        </w:rPr>
      </w:pPr>
      <w:r>
        <w:rPr>
          <w:rFonts w:ascii="Times New Roman" w:hAnsi="Times New Roman"/>
          <w:sz w:val="24"/>
        </w:rPr>
        <w:t xml:space="preserve">Institucije objavljuju kvalitativne informacije navedene u nastavku na temelju svoje metodologije internog sustava mjerenja rizika, </w:t>
      </w:r>
      <w:r>
        <w:rPr>
          <w:rFonts w:ascii="Times New Roman" w:hAnsi="Times New Roman"/>
          <w:color w:val="000000"/>
          <w:sz w:val="24"/>
        </w:rPr>
        <w:t>standardizirane metodologije ili pojednostavnjene standardizirane metodologije, ovisno o slučaju,</w:t>
      </w:r>
      <w:r>
        <w:rPr>
          <w:rFonts w:ascii="Times New Roman" w:hAnsi="Times New Roman"/>
          <w:sz w:val="24"/>
        </w:rPr>
        <w:t xml:space="preserve"> u skladu s člankom 84. Direktive 2013/36/EU.</w:t>
      </w:r>
    </w:p>
    <w:p w14:paraId="3D633743" w14:textId="14CE6FC2" w:rsidR="00C07A00" w:rsidRDefault="0017255F" w:rsidP="000D6C4D">
      <w:pPr>
        <w:jc w:val="both"/>
        <w:rPr>
          <w:rFonts w:ascii="Times New Roman" w:hAnsi="Times New Roman" w:cs="Times New Roman"/>
          <w:sz w:val="24"/>
        </w:rPr>
      </w:pPr>
      <w:r>
        <w:rPr>
          <w:rFonts w:ascii="Times New Roman" w:hAnsi="Times New Roman"/>
          <w:sz w:val="24"/>
        </w:rPr>
        <w:t xml:space="preserve">Ove su upute pripremljene na temelju zahtjeva iz članka 448. Uredbe (EU) br. 575/2013 i u skladu sa standardom za objavu informacija iz trećeg stupa Bazelskog odbora.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Pravna osnova i upute</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Broj retka</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rFonts w:ascii="Times New Roman" w:eastAsia="Times New Roman" w:hAnsi="Times New Roman" w:cs="Times New Roman"/>
                <w:b/>
                <w:bCs/>
                <w:color w:val="000000"/>
                <w:szCs w:val="22"/>
              </w:rPr>
            </w:pPr>
            <w:r>
              <w:rPr>
                <w:rFonts w:ascii="Times New Roman" w:hAnsi="Times New Roman"/>
                <w:b/>
                <w:color w:val="000000"/>
              </w:rPr>
              <w:t>Objašnjenje</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rFonts w:ascii="Times New Roman" w:eastAsia="Times New Roman" w:hAnsi="Times New Roman" w:cs="Times New Roman"/>
                <w:color w:val="000000"/>
                <w:szCs w:val="22"/>
              </w:rPr>
            </w:pPr>
            <w:r>
              <w:rPr>
                <w:rFonts w:ascii="Times New Roman" w:hAnsi="Times New Roman"/>
                <w:color w:val="000000"/>
              </w:rPr>
              <w:t>(a)</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Opis načina na koji institucija definira IRRBB za potrebe kontrole i mjerenja rizika</w:t>
            </w:r>
          </w:p>
          <w:p w14:paraId="3FB34713" w14:textId="03A80E6F" w:rsidR="00FC2089" w:rsidRPr="0031221C" w:rsidRDefault="00133E44"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U skladu s člankom 448. stavkom 1. točkom (e) Uredbe (EU) br. 575/2013 institucije dostavljaju opći opis načina na koji definiraju, mjere, smanjuju i kontroliraju kamatni rizik koji proizlazi iz njihovih poslova koji se vode u knjizi pozicija kojima se ne trguje za potrebe provjere koju provode nadležna tijela u skladu s člankom 84. Direktive 2013/36/EU.</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rFonts w:ascii="Times New Roman" w:eastAsia="Times New Roman" w:hAnsi="Times New Roman" w:cs="Times New Roman"/>
                <w:color w:val="000000"/>
                <w:szCs w:val="22"/>
              </w:rPr>
            </w:pPr>
            <w:r>
              <w:rPr>
                <w:rFonts w:ascii="Times New Roman" w:hAnsi="Times New Roman"/>
                <w:color w:val="000000"/>
              </w:rPr>
              <w:t>(b)</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Opis općih strategija institucije za upravljanje IRRBB-om i smanjenje IRRBB-a</w:t>
            </w:r>
          </w:p>
          <w:p w14:paraId="204A9378" w14:textId="5470BAC2" w:rsidR="005F58E6" w:rsidRPr="0031221C" w:rsidRDefault="005F58E6" w:rsidP="007012E2">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U skladu s člankom 448. stavkom 1. točkom (f) Uredbe (EU) br. 575/2013 institucije dostavljaju opis općih strategija upravljanja IRRBB-om i smanjenja IRRBB-a, uključujući sljedeće: praćenje ekonomske vrijednosti vlasničkog kapitala i neto kamatnog prihoda u odnosu na utvrđena ograničenja, prakse zaštite od rizika, testiranje otpornosti na stres, analizu rezultata, ulogu neovisne revizije, ulogu i prakse odbora za upravljanje imovinom i obvezama, prakse institucije za osiguranje odgovarajuće validacije modela, pravodobno ažuriranje modela u skladu s promjenjivim tržišnim uvjetima.</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rFonts w:ascii="Times New Roman" w:eastAsia="Times New Roman" w:hAnsi="Times New Roman" w:cs="Times New Roman"/>
                <w:color w:val="000000"/>
                <w:szCs w:val="22"/>
              </w:rPr>
            </w:pPr>
            <w:r>
              <w:rPr>
                <w:rFonts w:ascii="Times New Roman" w:hAnsi="Times New Roman"/>
                <w:color w:val="000000"/>
              </w:rPr>
              <w:t>(c)</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Učestalost izračuna mjera IRRBB-a institucije te opis specifičnih mjera koje institucija primjenjuje za provjeru svoje osjetljivosti na IRRBB</w:t>
            </w:r>
          </w:p>
          <w:p w14:paraId="6FC20A2F" w14:textId="7F1E505C" w:rsidR="00EA2452" w:rsidRPr="0031221C" w:rsidRDefault="00716636"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1. točkom (e) podtočkama i. i v. Uredbe (EU) br. 575/2013 institucije dostavljaju opći opis specifičnih mjera rizika koje primjenjuju za procjenu promjena ekonomske vrijednosti vlasničkih instrumenata i neto kamatnog prihoda i navode učestalost ocjenjivanja kamatnog rizika.</w:t>
            </w:r>
          </w:p>
          <w:p w14:paraId="3C576B31" w14:textId="6E0F133A"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2. Uredbe (EU) br. 575/2013 opis specifičnih mjera rizika za provjeru osjetljivosti na IRRBB ne primjenjuje se na institucije koje primjenjuju standardiziranu metodologiju ili pojednostavnjenu standardiziranu metodologiju iz članka 84. stavka 1. Direktive 2013/36/EU.</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(d)</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Opis scenarija šoka kamatnih stopa i testiranja otpornosti na stres koje institucija upotrebljava za procjenu promjena ekonomske vrijednosti i neto kamatnog prihoda (ako je primjenjivo)</w:t>
            </w:r>
          </w:p>
          <w:p w14:paraId="24AB856B" w14:textId="5DBA799D" w:rsidR="00716636" w:rsidRPr="0031221C" w:rsidRDefault="00716636" w:rsidP="00226654">
            <w:pPr>
              <w:spacing w:before="120"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1. točkom (e) podtočkom iii. Uredbe (EU) br. 575/2013 institucije dostavljaju opći opis scenarija šoka kamatnih stopa koje upotrebljavaju za procjenu kamatnog rizika.</w:t>
            </w:r>
          </w:p>
          <w:p w14:paraId="05DE1832" w14:textId="3AF43FAB" w:rsidR="0013410F" w:rsidRPr="0031221C" w:rsidRDefault="0013410F" w:rsidP="00721ADE">
            <w:pPr>
              <w:spacing w:before="120" w:after="120"/>
              <w:jc w:val="both"/>
              <w:rPr>
                <w:rFonts w:ascii="Times New Roman" w:eastAsia="Times New Roman" w:hAnsi="Times New Roman" w:cs="Times New Roman"/>
                <w:color w:val="000000"/>
                <w:sz w:val="24"/>
                <w:szCs w:val="22"/>
              </w:rPr>
            </w:pPr>
            <w:r>
              <w:rPr>
                <w:rFonts w:ascii="Times New Roman" w:hAnsi="Times New Roman"/>
                <w:color w:val="000000"/>
              </w:rPr>
              <w:t>U skladu s člankom 448. stavkom 2. Uredbe (EU) br. 575/2013 ti zahtjevi za objavu ne primjenjuju se na institucije koje primjenjuju standardiziranu metodologiju ili pojednostavnjenu standardiziranu metodologiju iz članka 84. stavka 1. Direktive 2013/36/EU.</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rFonts w:ascii="Times New Roman" w:eastAsia="Times New Roman" w:hAnsi="Times New Roman" w:cs="Times New Roman"/>
                <w:color w:val="000000"/>
                <w:szCs w:val="22"/>
              </w:rPr>
            </w:pPr>
            <w:r>
              <w:rPr>
                <w:rFonts w:ascii="Times New Roman" w:hAnsi="Times New Roman"/>
                <w:color w:val="000000"/>
              </w:rPr>
              <w:t>(e)</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Opis ključnih pretpostavki modela i parametara koje se razlikuju od onih koje se upotrebljavaju za objavu informacija u obrascu EU IRRBB1 (ako je primjenjivo)</w:t>
            </w:r>
          </w:p>
          <w:p w14:paraId="15A00557" w14:textId="4EC63038" w:rsidR="00716636" w:rsidRPr="0031221C" w:rsidRDefault="0094340A" w:rsidP="0094340A">
            <w:pPr>
              <w:spacing w:before="120"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1. točkom (e) podtočkom ii. Uredbe (EU) br. 575/2013, ako su ključne pretpostavke modela i parametara koje se upotrebljavaju u internim sustavima mjerenja institucije razlikuju od onih iz članka 98. stavka 5.a Direktive 2013/36/EU upotrijebljenih za objavu informacija u obrascu EU IRRBB1, institucija dostavlja opći opis tih pretpostavki, uključujući objašnjenje tih razlika (npr. povijesni podaci, objavljeno istraživanje, prosudba i analiza uprave itd.).</w:t>
            </w:r>
          </w:p>
          <w:p w14:paraId="3FF39A57" w14:textId="5F109832" w:rsidR="003B1160" w:rsidRPr="0031221C" w:rsidRDefault="0013410F" w:rsidP="00721ADE">
            <w:pPr>
              <w:spacing w:before="120" w:after="120"/>
              <w:jc w:val="both"/>
              <w:rPr>
                <w:rFonts w:ascii="Times New Roman" w:eastAsia="Times New Roman" w:hAnsi="Times New Roman" w:cs="Times New Roman"/>
                <w:b/>
                <w:color w:val="000000"/>
                <w:sz w:val="24"/>
                <w:szCs w:val="22"/>
              </w:rPr>
            </w:pPr>
            <w:r>
              <w:rPr>
                <w:rFonts w:ascii="Times New Roman" w:hAnsi="Times New Roman"/>
                <w:color w:val="000000"/>
              </w:rPr>
              <w:t>U skladu s člankom 448. stavkom 2. Uredbe (EU) br. 575/2013 ti zahtjevi za objavu ne primjenjuju se na institucije koje primjenjuju standardiziranu metodologiju ili pojednostavnjenu standardiziranu metodologiju iz članka 84. stavka 1. Direktive 2013/36/EU.</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rFonts w:ascii="Times New Roman" w:eastAsia="Times New Roman" w:hAnsi="Times New Roman" w:cs="Times New Roman"/>
                <w:color w:val="000000"/>
                <w:szCs w:val="22"/>
              </w:rPr>
            </w:pPr>
            <w:r>
              <w:rPr>
                <w:rFonts w:ascii="Times New Roman" w:hAnsi="Times New Roman"/>
                <w:color w:val="000000"/>
              </w:rPr>
              <w:t>(f)</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rFonts w:ascii="Times New Roman" w:eastAsia="Times New Roman" w:hAnsi="Times New Roman" w:cs="Times New Roman"/>
                <w:b/>
                <w:color w:val="000000"/>
                <w:szCs w:val="22"/>
              </w:rPr>
            </w:pPr>
            <w:r>
              <w:rPr>
                <w:rFonts w:ascii="Times New Roman" w:hAnsi="Times New Roman"/>
                <w:b/>
                <w:color w:val="000000"/>
              </w:rPr>
              <w:t>Detaljan opis načina na koji se institucija štiti od IRRBB-a te s time povezani računovodstveni tretman (ako je primjenjivo)</w:t>
            </w:r>
          </w:p>
          <w:p w14:paraId="70B99ACF" w14:textId="007FE981" w:rsidR="0094340A" w:rsidRPr="0031221C" w:rsidRDefault="001A6E70"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Konkretno, u skladu s člankom 448. stavkom 1. točkom (e) podtočkom iv. Uredbe (EU) br. 575/2013, institucije utvrđuju učinak zaštite od kamatnih rizika, uključujući interne instrumente zaštite od rizika koji ispunjavaju zahtjeve iz članka 106. stavka 3. Uredbe (EU) br. 575/2013.</w:t>
            </w:r>
          </w:p>
          <w:p w14:paraId="4C51BA8A" w14:textId="2771AF79" w:rsidR="0013410F" w:rsidRPr="0031221C" w:rsidRDefault="0013410F" w:rsidP="00721ADE">
            <w:pPr>
              <w:spacing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2. Uredbe (EU) br. 575/2013 ti zahtjevi za objavu ne primjenjuju se na institucije koje primjenjuju standardiziranu metodologiju ili pojednostavnjenu standardiziranu metodologiju iz članka 84. stavka 1. Direktive 2013/36/EU.</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rFonts w:ascii="Times New Roman" w:eastAsia="Times New Roman" w:hAnsi="Times New Roman" w:cs="Times New Roman"/>
                <w:color w:val="000000"/>
                <w:szCs w:val="22"/>
              </w:rPr>
            </w:pPr>
            <w:r>
              <w:rPr>
                <w:rFonts w:ascii="Times New Roman" w:hAnsi="Times New Roman"/>
                <w:color w:val="000000"/>
              </w:rPr>
              <w:t>(g)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rFonts w:ascii="Times New Roman" w:eastAsia="Times New Roman" w:hAnsi="Times New Roman" w:cs="Times New Roman"/>
                <w:color w:val="000000"/>
                <w:sz w:val="24"/>
                <w:szCs w:val="22"/>
              </w:rPr>
            </w:pPr>
            <w:r>
              <w:rPr>
                <w:rFonts w:ascii="Times New Roman" w:hAnsi="Times New Roman"/>
                <w:b/>
                <w:color w:val="000000"/>
                <w:sz w:val="24"/>
              </w:rPr>
              <w:t>Opis ključnih pretpostavki modela i parametara koje se upotrebljavaju za mjere IRRBB-a u obrascu EU IRRBB1 (ako je primjenjivo)</w:t>
            </w:r>
          </w:p>
          <w:p w14:paraId="083A4172" w14:textId="093A90CF" w:rsidR="00CD3692" w:rsidRPr="0031221C" w:rsidRDefault="00133E44" w:rsidP="00B650A9">
            <w:pPr>
              <w:jc w:val="both"/>
              <w:rPr>
                <w:rFonts w:ascii="Times New Roman" w:eastAsia="Times New Roman" w:hAnsi="Times New Roman" w:cs="Times New Roman"/>
                <w:color w:val="000000"/>
                <w:szCs w:val="22"/>
              </w:rPr>
            </w:pPr>
            <w:r>
              <w:rPr>
                <w:rFonts w:ascii="Times New Roman" w:hAnsi="Times New Roman"/>
                <w:color w:val="000000"/>
              </w:rPr>
              <w:t>U skladu s člankom 448. stavkom 1. točkom (c) Uredbe (EU) br. 575/2013 institucije dostavljaju opći opis ključnih pretpostavki modela i parametara, osim onih iz članka 98. stavka 5.a točaka (b) i (c) Direktive 2013/36/EU koje su upotrijebljene za potrebe izračuna promjena ekonomske vrijednosti vlasničkih instrumenata i neto kamatnog prihoda u obrascu EU IRRBB1. Taj opći opis uključuje barem sljedeće:</w:t>
            </w:r>
          </w:p>
          <w:p w14:paraId="26388E97" w14:textId="6114187E" w:rsidR="00843F8C" w:rsidRPr="0031221C" w:rsidRDefault="0016128F"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način na koji je utvrđeno prosječno razdoblje do ponovnog vrednovanja kamatnih stopa dodijeljeno depozitima bez dospijeća uključujući sve jedinstvene značajke proizvoda koje utječu na pretpostavljeni bihevioralni datum sljedeće promjene kamatne stope;</w:t>
            </w:r>
          </w:p>
          <w:p w14:paraId="01CB0AA3" w14:textId="2D904141" w:rsidR="00843F8C" w:rsidRPr="0031221C" w:rsidRDefault="00843F8C"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lastRenderedPageBreak/>
              <w:t>metodologiju procjene stope prijevremene otplate kredita i/ili stope prijevremenog povlačenja oročenih depozita i druge značajne pretpostavke;</w:t>
            </w:r>
          </w:p>
          <w:p w14:paraId="1BD4D78B" w14:textId="273602CC" w:rsidR="00AE69B7" w:rsidRPr="0031221C" w:rsidRDefault="00745B25" w:rsidP="00B650A9">
            <w:pPr>
              <w:pStyle w:val="ListParagraph"/>
              <w:numPr>
                <w:ilvl w:val="0"/>
                <w:numId w:val="8"/>
              </w:numPr>
              <w:jc w:val="both"/>
              <w:rPr>
                <w:rFonts w:ascii="Times New Roman" w:eastAsia="Times New Roman" w:hAnsi="Times New Roman" w:cs="Times New Roman"/>
                <w:color w:val="000000"/>
                <w:szCs w:val="22"/>
              </w:rPr>
            </w:pPr>
            <w:r>
              <w:rPr>
                <w:rFonts w:ascii="Times New Roman" w:hAnsi="Times New Roman"/>
                <w:color w:val="000000"/>
              </w:rPr>
              <w:t>sve druge pretpostavke, među ostalim za instrumente s bihevioralnim opcijama, koje imaju značajan utjecaj na mjere IRRBB-a objavljene u obrascu EU IRRBB1, uključujući objašnjenje njihove značajnosti.</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rFonts w:ascii="Times New Roman" w:eastAsia="Times New Roman" w:hAnsi="Times New Roman" w:cs="Times New Roman"/>
                <w:color w:val="000000"/>
                <w:szCs w:val="22"/>
              </w:rPr>
            </w:pPr>
            <w:r>
              <w:rPr>
                <w:rFonts w:ascii="Times New Roman" w:hAnsi="Times New Roman"/>
                <w:color w:val="000000"/>
              </w:rPr>
              <w:t>U skladu s člankom 448. stavkom 2. Uredbe (EU) br. 575/2013 ti zahtjevi za objavu ne primjenjuju se na institucije koje primjenjuju standardiziranu metodologiju ili pojednostavnjenu standardiziranu metodologiju iz članka 84. stavka 1. Direktive 2013/36/EU.</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rFonts w:ascii="Times New Roman" w:eastAsia="Times New Roman" w:hAnsi="Times New Roman" w:cs="Times New Roman"/>
                <w:color w:val="000000"/>
                <w:szCs w:val="22"/>
              </w:rPr>
            </w:pPr>
            <w:r>
              <w:rPr>
                <w:rFonts w:ascii="Times New Roman" w:hAnsi="Times New Roman"/>
                <w:color w:val="000000"/>
              </w:rPr>
              <w:lastRenderedPageBreak/>
              <w:t>(h)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Objašnjenje značaja mjera IRRBB-a i značajnih razlika među tim mjerama od prethodnih objava</w:t>
            </w:r>
          </w:p>
          <w:p w14:paraId="79D598A4" w14:textId="45AA4311" w:rsidR="00CD3692" w:rsidRPr="0031221C" w:rsidRDefault="00133E44" w:rsidP="00942E61">
            <w:pPr>
              <w:spacing w:after="120"/>
              <w:jc w:val="both"/>
              <w:rPr>
                <w:rFonts w:ascii="Times New Roman" w:eastAsia="Times New Roman" w:hAnsi="Times New Roman" w:cs="Times New Roman"/>
                <w:color w:val="000000"/>
                <w:szCs w:val="22"/>
              </w:rPr>
            </w:pPr>
            <w:r>
              <w:rPr>
                <w:rFonts w:ascii="Times New Roman" w:hAnsi="Times New Roman"/>
                <w:color w:val="000000"/>
              </w:rPr>
              <w:t>U skladu s člankom 448. stavkom 1. točkom (d) Uredbe (EU) br. 575/2013 institucije dostavljaju opći opis značaja mjera IRRBB-a objavljenih u obrascu EU IRRBB1 i svih značajnih razlika među tim mjerama IRRBB-a od prethodnog referentnog datuma objave.</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rFonts w:ascii="Times New Roman" w:eastAsia="Times New Roman" w:hAnsi="Times New Roman" w:cs="Times New Roman"/>
                <w:color w:val="000000"/>
                <w:szCs w:val="22"/>
              </w:rPr>
            </w:pPr>
            <w:r>
              <w:rPr>
                <w:rFonts w:ascii="Times New Roman" w:hAnsi="Times New Roman"/>
                <w:color w:val="000000"/>
              </w:rPr>
              <w:t>(i)</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Sve druge relevantne informacije o mjerama IRRBB-a objavljenima u obrascu EU IRRBB1 (nije obvezno)</w:t>
            </w:r>
          </w:p>
          <w:p w14:paraId="4A261DD1" w14:textId="6EDF41BA" w:rsidR="007F15BF" w:rsidRPr="0031221C" w:rsidRDefault="007573CB" w:rsidP="00B650A9">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Sve druge relevantne informacije koje institucije žele objaviti o mjerama IRRBB-a koje su navedene u obrascu EU IRRBB1. </w:t>
            </w:r>
          </w:p>
          <w:p w14:paraId="10A0910D" w14:textId="43AEBA65" w:rsidR="007573CB" w:rsidRPr="0031221C" w:rsidRDefault="002B630E" w:rsidP="002B630E">
            <w:pPr>
              <w:spacing w:after="120"/>
              <w:jc w:val="both"/>
              <w:rPr>
                <w:rFonts w:ascii="Times New Roman" w:eastAsia="Times New Roman" w:hAnsi="Times New Roman" w:cs="Times New Roman"/>
                <w:color w:val="000000"/>
                <w:szCs w:val="22"/>
              </w:rPr>
            </w:pPr>
            <w:r>
              <w:rPr>
                <w:rFonts w:ascii="Times New Roman" w:hAnsi="Times New Roman"/>
                <w:color w:val="000000"/>
              </w:rPr>
              <w:t xml:space="preserve">. </w:t>
            </w:r>
            <w:r>
              <w:t xml:space="preserve"> </w:t>
            </w:r>
            <w:r>
              <w:rPr>
                <w:rFonts w:ascii="Times New Roman" w:hAnsi="Times New Roman"/>
                <w:color w:val="000000"/>
              </w:rPr>
              <w:t xml:space="preserve">Do početka primjene i kriterija iz smjernica iz članka 84. stavka 6. Direktive 2013/36/EU i dodatnih elemenata iz članka 98. stavka 5.a Direktive 2013/36/EU, institucije objavljuju parametre koji se upotrebljavaju za nadzorne scenarije šoka, definiciju neto kamatnog prihoda koju upotrebljavaju i sve druge relevantne informacije potrebne da se razumije kako su izračunate promjene neto kamatnog prihoda u obrascu EU IRRBB1.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rFonts w:ascii="Times New Roman" w:eastAsia="Times New Roman" w:hAnsi="Times New Roman" w:cs="Times New Roman"/>
                <w:color w:val="000000"/>
                <w:szCs w:val="22"/>
              </w:rPr>
            </w:pPr>
            <w:r>
              <w:rPr>
                <w:rFonts w:ascii="Times New Roman" w:hAnsi="Times New Roman"/>
                <w:color w:val="000000"/>
              </w:rPr>
              <w:t>(1),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rFonts w:ascii="Times New Roman" w:eastAsia="Times New Roman" w:hAnsi="Times New Roman" w:cs="Times New Roman"/>
                <w:b/>
                <w:color w:val="000000"/>
                <w:sz w:val="24"/>
                <w:szCs w:val="22"/>
              </w:rPr>
            </w:pPr>
            <w:r>
              <w:rPr>
                <w:rFonts w:ascii="Times New Roman" w:hAnsi="Times New Roman"/>
                <w:b/>
                <w:color w:val="000000"/>
                <w:sz w:val="24"/>
              </w:rPr>
              <w:t>Objava prosječnog i najduljeg razdoblja do ponovnog vrednovanja kamatnih stopa dodijeljenog depozitima bez roka dospijeća</w:t>
            </w:r>
          </w:p>
          <w:p w14:paraId="48FA0E44" w14:textId="035E5E4B" w:rsidR="004F5466" w:rsidRPr="0031221C" w:rsidRDefault="00065C44" w:rsidP="00942E61">
            <w:pPr>
              <w:spacing w:after="120"/>
              <w:jc w:val="both"/>
              <w:rPr>
                <w:rFonts w:ascii="Times New Roman" w:eastAsia="Times New Roman" w:hAnsi="Times New Roman" w:cs="Times New Roman"/>
                <w:b/>
                <w:color w:val="000000"/>
                <w:sz w:val="24"/>
                <w:szCs w:val="22"/>
              </w:rPr>
            </w:pPr>
            <w:r>
              <w:rPr>
                <w:rFonts w:ascii="Times New Roman" w:hAnsi="Times New Roman"/>
                <w:color w:val="000000"/>
              </w:rPr>
              <w:t>U skladu s člankom 448. stavkom 1. točkom (g) Uredbe (EU) br. 575/2013 institucije dostavljaju prosječno i najdulje razdoblje do ponovnog vrednovanja kamatnih stopa dodijeljeno depozitima stanovništva i nefinancijskih velikih klijenata bez roka dospijeća. Objava se zasebno odnosi i na osnovni dio i na puni iznos depozita stanovništva i nefinancijskih velikih klijenata bez roka dospijeća.</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1BA4963" w14:textId="77777777" w:rsidR="007547FA" w:rsidRDefault="007547FA" w:rsidP="0054744B">
      <w:pPr>
        <w:jc w:val="both"/>
        <w:rPr>
          <w:rFonts w:ascii="Times New Roman" w:hAnsi="Times New Roman"/>
          <w:b/>
          <w:sz w:val="24"/>
        </w:rPr>
      </w:pPr>
    </w:p>
    <w:p w14:paraId="06D8DCFE" w14:textId="77777777" w:rsidR="007547FA" w:rsidRDefault="007547FA" w:rsidP="0054744B">
      <w:pPr>
        <w:jc w:val="both"/>
        <w:rPr>
          <w:rFonts w:ascii="Times New Roman" w:hAnsi="Times New Roman"/>
          <w:b/>
          <w:sz w:val="24"/>
        </w:rPr>
      </w:pPr>
    </w:p>
    <w:p w14:paraId="22013B27" w14:textId="77777777" w:rsidR="007547FA" w:rsidRDefault="007547FA" w:rsidP="0054744B">
      <w:pPr>
        <w:jc w:val="both"/>
        <w:rPr>
          <w:rFonts w:ascii="Times New Roman" w:hAnsi="Times New Roman"/>
          <w:b/>
          <w:sz w:val="24"/>
        </w:rPr>
      </w:pPr>
    </w:p>
    <w:p w14:paraId="287F28AF" w14:textId="48A2A0D7" w:rsidR="0054744B" w:rsidRPr="0031221C" w:rsidRDefault="00906CCA" w:rsidP="0054744B">
      <w:pPr>
        <w:jc w:val="both"/>
        <w:rPr>
          <w:rFonts w:ascii="Times New Roman" w:hAnsi="Times New Roman"/>
          <w:bCs/>
          <w:sz w:val="24"/>
        </w:rPr>
      </w:pPr>
      <w:r>
        <w:rPr>
          <w:rFonts w:ascii="Times New Roman" w:hAnsi="Times New Roman"/>
          <w:b/>
          <w:sz w:val="24"/>
        </w:rPr>
        <w:lastRenderedPageBreak/>
        <w:t xml:space="preserve">Upute za objavu informacija u obrascu EU IRRBB1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rFonts w:ascii="Times New Roman" w:hAnsi="Times New Roman"/>
          <w:bCs/>
          <w:sz w:val="24"/>
        </w:rPr>
      </w:pPr>
      <w:r>
        <w:rPr>
          <w:rFonts w:ascii="Times New Roman" w:hAnsi="Times New Roman"/>
          <w:sz w:val="24"/>
        </w:rPr>
        <w:t xml:space="preserve">Institucije procjenjuju kamatni rizik koji proizlazi iz poslova koji se vode u knjizi pozicija kojima se ne trguje na temelju svoje metodologije internog sustava mjerenja, </w:t>
      </w:r>
      <w:r>
        <w:rPr>
          <w:rFonts w:ascii="Times New Roman" w:hAnsi="Times New Roman"/>
          <w:color w:val="000000"/>
          <w:sz w:val="24"/>
        </w:rPr>
        <w:t>standardizirane metodologije ili pojednostavnjene standardizirane metodologije</w:t>
      </w:r>
      <w:r>
        <w:rPr>
          <w:rFonts w:ascii="Times New Roman" w:hAnsi="Times New Roman"/>
        </w:rPr>
        <w:t>, ovisno o slučaju</w:t>
      </w:r>
      <w:r>
        <w:rPr>
          <w:rFonts w:ascii="Times New Roman" w:hAnsi="Times New Roman"/>
          <w:color w:val="000000"/>
        </w:rPr>
        <w:t>,</w:t>
      </w:r>
      <w:r>
        <w:rPr>
          <w:rFonts w:ascii="Times New Roman" w:hAnsi="Times New Roman"/>
          <w:sz w:val="24"/>
        </w:rPr>
        <w:t xml:space="preserve"> kako su definirane u skladu s člankom 84. Direktive 2013/36/EU, s obzirom na nadzorne scenarije šoka i zajedničke pretpostavke modela i parametara definirane u članku 98. stavku 5.a Direktive 2013/36/EU.</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rFonts w:ascii="Times New Roman" w:hAnsi="Times New Roman"/>
          <w:bCs/>
          <w:sz w:val="24"/>
        </w:rPr>
      </w:pPr>
      <w:r>
        <w:rPr>
          <w:rFonts w:ascii="Times New Roman" w:hAnsi="Times New Roman"/>
          <w:sz w:val="24"/>
        </w:rPr>
        <w:t xml:space="preserve">Ove su upute pripremljene na temelju zahtjeva iz članka 448. Uredbe (EU) br. 575/2013 i u skladu sa standardom za objavu informacija iz trećeg stupa Bazelskog odbora.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rFonts w:ascii="Times New Roman" w:hAnsi="Times New Roman"/>
          <w:bCs/>
          <w:sz w:val="24"/>
        </w:rPr>
      </w:pPr>
      <w:r>
        <w:rPr>
          <w:rFonts w:ascii="Times New Roman" w:hAnsi="Times New Roman"/>
          <w:sz w:val="24"/>
        </w:rPr>
        <w:t>Institucije nisu dužne u svojoj prvoj objavi objaviti informacije za prethodno razdoblje.</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rFonts w:ascii="Times New Roman" w:hAnsi="Times New Roman"/>
                <w:noProof w:val="0"/>
                <w:sz w:val="24"/>
              </w:rPr>
            </w:pPr>
            <w:r>
              <w:rPr>
                <w:rFonts w:ascii="Times New Roman" w:hAnsi="Times New Roman"/>
              </w:rPr>
              <w:t>Upute za popunjavanje obrasca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rFonts w:ascii="Times New Roman" w:hAnsi="Times New Roman" w:cs="Times New Roman"/>
                <w:b/>
                <w:szCs w:val="22"/>
              </w:rPr>
            </w:pPr>
            <w:r>
              <w:rPr>
                <w:rFonts w:ascii="Times New Roman" w:hAnsi="Times New Roman"/>
                <w:b/>
              </w:rPr>
              <w:t>Stupac</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rFonts w:ascii="Times New Roman" w:hAnsi="Times New Roman" w:cs="Times New Roman"/>
                <w:color w:val="000000"/>
                <w:szCs w:val="22"/>
              </w:rPr>
            </w:pPr>
            <w:r>
              <w:rPr>
                <w:rFonts w:ascii="Times New Roman" w:hAnsi="Times New Roman"/>
                <w:b/>
              </w:rPr>
              <w:t>Objašnjenje</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rFonts w:ascii="Times New Roman" w:hAnsi="Times New Roman" w:cs="Times New Roman"/>
                <w:b/>
                <w:szCs w:val="22"/>
              </w:rPr>
            </w:pPr>
            <w:r>
              <w:rPr>
                <w:rFonts w:ascii="Times New Roman" w:hAnsi="Times New Roman"/>
                <w:b/>
              </w:rPr>
              <w:t>a, b</w:t>
            </w:r>
          </w:p>
        </w:tc>
        <w:tc>
          <w:tcPr>
            <w:tcW w:w="7768" w:type="dxa"/>
            <w:shd w:val="clear" w:color="auto" w:fill="FFFFFF" w:themeFill="background1"/>
          </w:tcPr>
          <w:p w14:paraId="26CB8AC0" w14:textId="3A3B49B8" w:rsidR="00793890" w:rsidRPr="0031221C" w:rsidRDefault="004E6BD5" w:rsidP="0060489A">
            <w:pPr>
              <w:spacing w:before="60" w:after="120"/>
              <w:jc w:val="both"/>
              <w:rPr>
                <w:rFonts w:ascii="Times New Roman" w:eastAsia="Times New Roman" w:hAnsi="Times New Roman" w:cs="Times New Roman"/>
                <w:b/>
                <w:szCs w:val="22"/>
              </w:rPr>
            </w:pPr>
            <w:r>
              <w:rPr>
                <w:rFonts w:ascii="Times New Roman" w:hAnsi="Times New Roman"/>
                <w:b/>
              </w:rPr>
              <w:t>Promjene ekonomske vrijednosti vlasničkih instrumenata</w:t>
            </w:r>
          </w:p>
          <w:p w14:paraId="7E84F9AE" w14:textId="3C5E67A3" w:rsidR="002F2E04" w:rsidRPr="0031221C" w:rsidRDefault="009C3247" w:rsidP="009C3247">
            <w:pPr>
              <w:spacing w:before="60" w:after="120"/>
              <w:jc w:val="both"/>
              <w:rPr>
                <w:rFonts w:ascii="Times New Roman" w:hAnsi="Times New Roman" w:cs="Times New Roman"/>
                <w:szCs w:val="22"/>
              </w:rPr>
            </w:pPr>
            <w:r>
              <w:rPr>
                <w:rFonts w:ascii="Times New Roman" w:hAnsi="Times New Roman"/>
              </w:rPr>
              <w:t xml:space="preserve">Članak 448. stavak 1. točka (a) </w:t>
            </w:r>
            <w:r>
              <w:rPr>
                <w:rFonts w:ascii="Times New Roman" w:hAnsi="Times New Roman"/>
                <w:color w:val="000000"/>
              </w:rPr>
              <w:t>Uredbe (EU) br. 575/2013</w:t>
            </w:r>
            <w:r>
              <w:rPr>
                <w:rFonts w:ascii="Times New Roman" w:hAnsi="Times New Roman"/>
              </w:rPr>
              <w:t xml:space="preserve">. </w:t>
            </w:r>
          </w:p>
          <w:p w14:paraId="4C9FBFE2" w14:textId="0CBAAF6F" w:rsidR="009C2377" w:rsidRPr="0031221C" w:rsidRDefault="009C3247" w:rsidP="009C3247">
            <w:pPr>
              <w:spacing w:before="60" w:after="120"/>
              <w:jc w:val="both"/>
              <w:rPr>
                <w:rFonts w:ascii="Times New Roman" w:hAnsi="Times New Roman" w:cs="Times New Roman"/>
                <w:szCs w:val="22"/>
              </w:rPr>
            </w:pPr>
            <w:r>
              <w:rPr>
                <w:rFonts w:ascii="Times New Roman" w:hAnsi="Times New Roman"/>
              </w:rPr>
              <w:t>Institucije iskazuju promjene ekonomske vrijednosti vlasničkih instrumenata prema svakom nadzornom scenariju šoka kamatnih stopa, za sadašnje i prethodno razdoblje, u skladu sa zahtjevima iz članka 84. i članka 98. stavka 5. Direktive 2013/36/EU.</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c, d</w:t>
            </w:r>
          </w:p>
        </w:tc>
        <w:tc>
          <w:tcPr>
            <w:tcW w:w="7768" w:type="dxa"/>
            <w:shd w:val="clear" w:color="auto" w:fill="FFFFFF" w:themeFill="background1"/>
          </w:tcPr>
          <w:p w14:paraId="5BAD9564" w14:textId="213A9B28" w:rsidR="00305C67" w:rsidRPr="0031221C" w:rsidRDefault="00316B9A" w:rsidP="00305C67">
            <w:pPr>
              <w:spacing w:before="60" w:after="120"/>
              <w:jc w:val="both"/>
              <w:rPr>
                <w:rFonts w:ascii="Times New Roman" w:eastAsia="Times New Roman" w:hAnsi="Times New Roman" w:cs="Times New Roman"/>
                <w:b/>
                <w:szCs w:val="22"/>
              </w:rPr>
            </w:pPr>
            <w:r>
              <w:rPr>
                <w:rFonts w:ascii="Times New Roman" w:hAnsi="Times New Roman"/>
                <w:b/>
              </w:rPr>
              <w:t>Promjene neto kamatnog prihoda</w:t>
            </w:r>
          </w:p>
          <w:p w14:paraId="0ED8B6C6" w14:textId="70E8F948" w:rsidR="002F2E04"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Članak 448. stavak 1. točka (b) </w:t>
            </w:r>
            <w:r>
              <w:rPr>
                <w:rFonts w:ascii="Times New Roman" w:hAnsi="Times New Roman"/>
                <w:color w:val="000000"/>
              </w:rPr>
              <w:t>Uredbe (EU) br. 575/2013</w:t>
            </w:r>
            <w:r>
              <w:rPr>
                <w:rFonts w:ascii="Times New Roman" w:hAnsi="Times New Roman"/>
              </w:rPr>
              <w:t xml:space="preserve">. </w:t>
            </w:r>
          </w:p>
          <w:p w14:paraId="629DC825" w14:textId="34B035B2" w:rsidR="008E005A" w:rsidRPr="0031221C" w:rsidRDefault="00CE0D17" w:rsidP="00B81100">
            <w:pPr>
              <w:spacing w:before="60" w:after="120"/>
              <w:jc w:val="both"/>
              <w:rPr>
                <w:rFonts w:ascii="Times New Roman" w:hAnsi="Times New Roman" w:cs="Times New Roman"/>
                <w:szCs w:val="22"/>
              </w:rPr>
            </w:pPr>
            <w:r>
              <w:rPr>
                <w:rFonts w:ascii="Times New Roman" w:hAnsi="Times New Roman"/>
              </w:rPr>
              <w:t xml:space="preserve">Institucije iskazuju promjene neto kamatnog prihoda na temelju dva nadzorna scenarija šoka kamatnih stopa predviđena u obrascu za sadašnje i prethodno razdoblje, u skladu sa zahtjevima iz članka 84. i članka 98. stavka 5. Direktive 2013/36/EU. </w:t>
            </w:r>
          </w:p>
          <w:p w14:paraId="2D49064E" w14:textId="1AFABC17" w:rsidR="00C41D59"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 Do početka primjene i kriterija iz smjernica iz članka 84. stavka 6. Direktive 2013/36/EU i dodatnih elemenata iz članka 98. stavka 5.a Direktive 2013/36/EU</w:t>
            </w:r>
            <w:r>
              <w:rPr>
                <w:rFonts w:ascii="Times New Roman" w:hAnsi="Times New Roman"/>
              </w:rPr>
              <w:t xml:space="preserve">, institucije objavljuju definicije i ključne značajke (scenarije, pretpostavke i razdoblja </w:t>
            </w:r>
            <w:r>
              <w:rPr>
                <w:rFonts w:ascii="Times New Roman" w:hAnsi="Times New Roman"/>
                <w:color w:val="000000"/>
              </w:rPr>
              <w:t>neto kamatnog prihoda</w:t>
            </w:r>
            <w:r>
              <w:rPr>
                <w:rFonts w:ascii="Times New Roman" w:hAnsi="Times New Roman"/>
              </w:rPr>
              <w:t xml:space="preserve">) neto kamatnog prihoda iz točke i. tablice EU IRRBBA ili, ako su te stupce ostavile prazne, navode obrazloženje u točki (i) tablice EU IRRBBA.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rFonts w:ascii="Times New Roman" w:hAnsi="Times New Roman" w:cs="Times New Roman"/>
                <w:b/>
                <w:szCs w:val="22"/>
              </w:rPr>
            </w:pPr>
            <w:r>
              <w:rPr>
                <w:rFonts w:ascii="Times New Roman" w:hAnsi="Times New Roman"/>
                <w:b/>
              </w:rPr>
              <w:t xml:space="preserve">Redak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rFonts w:ascii="Times New Roman" w:hAnsi="Times New Roman" w:cs="Times New Roman"/>
                <w:b/>
                <w:szCs w:val="22"/>
              </w:rPr>
            </w:pPr>
            <w:r>
              <w:rPr>
                <w:rFonts w:ascii="Times New Roman" w:hAnsi="Times New Roman"/>
                <w:b/>
              </w:rPr>
              <w:t>Objašnjenje</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Paralelni šok rasta</w:t>
            </w:r>
          </w:p>
          <w:p w14:paraId="460792B5" w14:textId="200E6EE9" w:rsidR="0080384B" w:rsidRPr="0031221C" w:rsidRDefault="00615DB8" w:rsidP="00B9107D">
            <w:pPr>
              <w:spacing w:before="60" w:after="120"/>
              <w:jc w:val="both"/>
              <w:rPr>
                <w:rFonts w:ascii="Times New Roman" w:hAnsi="Times New Roman" w:cs="Times New Roman"/>
                <w:szCs w:val="22"/>
              </w:rPr>
            </w:pPr>
            <w:r>
              <w:rPr>
                <w:rFonts w:ascii="Times New Roman" w:hAnsi="Times New Roman"/>
              </w:rPr>
              <w:t xml:space="preserve">Institucije objavljuju promjene ekonomske vrijednosti vlasničkih instrumenata i promjene neto kamatnog prihoda na temelju scenarija konstantnog paralelnog šoka rasta u krivulji prinosa. </w:t>
            </w:r>
          </w:p>
          <w:p w14:paraId="2AA6B7BB" w14:textId="14575B1E" w:rsidR="0084271D" w:rsidRPr="0031221C" w:rsidRDefault="00C24484" w:rsidP="00C24484">
            <w:pPr>
              <w:spacing w:before="60" w:after="120"/>
              <w:jc w:val="both"/>
              <w:rPr>
                <w:rFonts w:ascii="Times New Roman" w:hAnsi="Times New Roman" w:cs="Times New Roman"/>
                <w:szCs w:val="22"/>
              </w:rPr>
            </w:pPr>
            <w:r>
              <w:rPr>
                <w:rFonts w:ascii="Times New Roman" w:hAnsi="Times New Roman"/>
              </w:rPr>
              <w:t xml:space="preserve"> </w:t>
            </w: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parametri koji se upotrebljavaju za taj scenarij opisuju se u točki (i) tablice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Paralelni šok pada</w:t>
            </w:r>
          </w:p>
          <w:p w14:paraId="1C16CAC1" w14:textId="764F4FC2" w:rsidR="0080384B" w:rsidRPr="0031221C" w:rsidRDefault="0084271D" w:rsidP="00B9107D">
            <w:pPr>
              <w:spacing w:before="60" w:after="120"/>
              <w:jc w:val="both"/>
              <w:rPr>
                <w:rFonts w:ascii="Times New Roman" w:hAnsi="Times New Roman" w:cs="Times New Roman"/>
                <w:szCs w:val="22"/>
              </w:rPr>
            </w:pPr>
            <w:r>
              <w:rPr>
                <w:rFonts w:ascii="Times New Roman" w:hAnsi="Times New Roman"/>
              </w:rPr>
              <w:lastRenderedPageBreak/>
              <w:t xml:space="preserve">Institucije objavljuju promjene ekonomske vrijednosti vlasničkih instrumenata i promjene neto kamatnog prihoda na temelju scenarija konstantnog paralelnog šoka pada u krivulji prinosa. </w:t>
            </w:r>
          </w:p>
          <w:p w14:paraId="3D14716A" w14:textId="5D1C74C8" w:rsidR="0084271D" w:rsidRPr="0031221C" w:rsidRDefault="00C24484" w:rsidP="00C24484">
            <w:pPr>
              <w:spacing w:before="60" w:after="120"/>
              <w:jc w:val="both"/>
              <w:rPr>
                <w:rFonts w:ascii="Times New Roman" w:hAnsi="Times New Roman" w:cs="Times New Roman"/>
                <w:szCs w:val="22"/>
              </w:rPr>
            </w:pP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 xml:space="preserve">parametri koji se upotrebljavaju za taj scenarij opisuju se u točki (i) tablice EU IRRBBA.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lastRenderedPageBreak/>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Šok nakošenja</w:t>
            </w:r>
          </w:p>
          <w:p w14:paraId="1FAE89D5" w14:textId="27B90C73" w:rsidR="0080384B" w:rsidRPr="0031221C" w:rsidRDefault="003F5907" w:rsidP="00B9107D">
            <w:pPr>
              <w:spacing w:before="60" w:after="120"/>
              <w:jc w:val="both"/>
              <w:rPr>
                <w:rFonts w:ascii="Times New Roman" w:eastAsia="Times New Roman" w:hAnsi="Times New Roman" w:cs="Times New Roman"/>
                <w:szCs w:val="22"/>
              </w:rPr>
            </w:pPr>
            <w:r>
              <w:rPr>
                <w:rFonts w:ascii="Times New Roman" w:hAnsi="Times New Roman"/>
              </w:rPr>
              <w:t xml:space="preserve">Institucije objavljuju promjene ekonomske vrijednosti vlasničkih instrumenata na temelju scenarija u kojem u krivulji prinosa kratkoročne kamatne stope padaju, a dugoročne kamatne stope rastu. </w:t>
            </w:r>
          </w:p>
          <w:p w14:paraId="2B14043C" w14:textId="013A1877" w:rsidR="0084271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rPr>
              <w:t xml:space="preserve"> </w:t>
            </w: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 xml:space="preserve">parametri koji se upotrebljavaju za taj scenarij opisuju se u točki (i) tablice EU IRRBBA.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rFonts w:ascii="Times New Roman" w:eastAsia="Times New Roman" w:hAnsi="Times New Roman"/>
                <w:bCs w:val="0"/>
                <w:sz w:val="22"/>
                <w:szCs w:val="22"/>
                <w:u w:val="none"/>
              </w:rPr>
            </w:pPr>
            <w:r>
              <w:rPr>
                <w:rStyle w:val="InstructionsTabelleberschrift"/>
                <w:rFonts w:ascii="Times New Roman" w:hAnsi="Times New Roman"/>
                <w:sz w:val="22"/>
                <w:u w:val="none"/>
              </w:rPr>
              <w:t>Šok izravnanja</w:t>
            </w:r>
          </w:p>
          <w:p w14:paraId="3D4F63A7" w14:textId="2CC94F2B"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Institucije objavljuju promjene ekonomske vrijednosti vlasničkih instrumenata na temelju scenarija u kojem u krivulji prinosa kratkoročne kamatne stope rastu, a dugoročne kamatne stope padaju. </w:t>
            </w:r>
          </w:p>
          <w:p w14:paraId="68AA63EC" w14:textId="159AECB7" w:rsidR="003C7BCD" w:rsidRPr="0031221C" w:rsidRDefault="00C24484" w:rsidP="00C24484">
            <w:pPr>
              <w:spacing w:before="60" w:after="120"/>
              <w:jc w:val="both"/>
              <w:rPr>
                <w:rFonts w:ascii="Times New Roman" w:eastAsia="Times New Roman" w:hAnsi="Times New Roman" w:cs="Times New Roman"/>
                <w:szCs w:val="22"/>
              </w:rPr>
            </w:pP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 xml:space="preserve">parametri koji se upotrebljavaju za taj scenarij opisuju se u točki (i) tablice EU IRRBBA.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Rast kratkoročnih kamatnih stopa</w:t>
            </w:r>
          </w:p>
          <w:p w14:paraId="68A86533" w14:textId="7377DB6E"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Institucije objavljuju promjene ekonomske vrijednosti vlasničkih instrumenata na temelju scenarija u kojem u krivulji prinosa kratkoročne kamatne stope rastu. </w:t>
            </w:r>
          </w:p>
          <w:p w14:paraId="6A69073C" w14:textId="59D58E63"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 xml:space="preserve">parametri koji se upotrebljavaju za taj scenarij opisuju se u točki (i) tablice EU IRRBBA.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rFonts w:ascii="Times New Roman" w:hAnsi="Times New Roman" w:cs="Times New Roman"/>
                <w:b/>
                <w:szCs w:val="22"/>
              </w:rPr>
            </w:pPr>
            <w:r>
              <w:rPr>
                <w:rFonts w:ascii="Times New Roman" w:hAnsi="Times New Roman"/>
                <w:b/>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rFonts w:ascii="Times New Roman" w:eastAsia="Times New Roman" w:hAnsi="Times New Roman" w:cs="Times New Roman"/>
                <w:b/>
                <w:szCs w:val="22"/>
              </w:rPr>
            </w:pPr>
            <w:r>
              <w:rPr>
                <w:rFonts w:ascii="Times New Roman" w:hAnsi="Times New Roman"/>
                <w:b/>
              </w:rPr>
              <w:t>Pad kratkoročnih kamatnih stopa</w:t>
            </w:r>
          </w:p>
          <w:p w14:paraId="52648BA1" w14:textId="70C444CA" w:rsidR="0080384B" w:rsidRPr="0031221C" w:rsidRDefault="003F5907" w:rsidP="003F5907">
            <w:pPr>
              <w:spacing w:before="60" w:after="120"/>
              <w:jc w:val="both"/>
              <w:rPr>
                <w:rFonts w:ascii="Times New Roman" w:eastAsia="Times New Roman" w:hAnsi="Times New Roman" w:cs="Times New Roman"/>
                <w:szCs w:val="22"/>
              </w:rPr>
            </w:pPr>
            <w:r>
              <w:rPr>
                <w:rFonts w:ascii="Times New Roman" w:hAnsi="Times New Roman"/>
              </w:rPr>
              <w:t xml:space="preserve">Institucije objavljuju promjene ekonomske vrijednosti vlasničkih instrumenata na temelju scenarija u kojem u krivulji prinosa kratkoročne kamatne stope padaju. </w:t>
            </w:r>
          </w:p>
          <w:p w14:paraId="45792CFB" w14:textId="3D985205" w:rsidR="003C7BCD" w:rsidRPr="0031221C" w:rsidRDefault="00C24484" w:rsidP="00C24484">
            <w:pPr>
              <w:spacing w:before="60" w:after="120"/>
              <w:jc w:val="both"/>
              <w:rPr>
                <w:rFonts w:ascii="Times New Roman" w:eastAsia="Times New Roman" w:hAnsi="Times New Roman" w:cs="Times New Roman"/>
                <w:b/>
                <w:szCs w:val="22"/>
              </w:rPr>
            </w:pPr>
            <w:r>
              <w:rPr>
                <w:rFonts w:ascii="Times New Roman" w:hAnsi="Times New Roman"/>
                <w:color w:val="000000"/>
              </w:rPr>
              <w:t xml:space="preserve">Do početka primjene kriterija iz smjernica iz članka 84. stavka 6. Direktive 2013/36/EU i dodatnih elemenata iz članka 98. stavka 5.a Direktive 2013/36/EU, </w:t>
            </w:r>
            <w:r>
              <w:rPr>
                <w:rFonts w:ascii="Times New Roman" w:hAnsi="Times New Roman"/>
              </w:rPr>
              <w:t xml:space="preserve">parametri koji se upotrebljavaju za taj scenarij opisuju se u točki (i) tablice EU IRRBBA.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718209354">
    <w:abstractNumId w:val="8"/>
  </w:num>
  <w:num w:numId="2" w16cid:durableId="805976773">
    <w:abstractNumId w:val="3"/>
  </w:num>
  <w:num w:numId="3" w16cid:durableId="1384674767">
    <w:abstractNumId w:val="1"/>
  </w:num>
  <w:num w:numId="4" w16cid:durableId="138812256">
    <w:abstractNumId w:val="0"/>
  </w:num>
  <w:num w:numId="5" w16cid:durableId="1092243457">
    <w:abstractNumId w:val="6"/>
  </w:num>
  <w:num w:numId="6" w16cid:durableId="2123114090">
    <w:abstractNumId w:val="2"/>
  </w:num>
  <w:num w:numId="7" w16cid:durableId="315690470">
    <w:abstractNumId w:val="7"/>
  </w:num>
  <w:num w:numId="8" w16cid:durableId="737823135">
    <w:abstractNumId w:val="4"/>
  </w:num>
  <w:num w:numId="9" w16cid:durableId="510336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47FA"/>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hr-HR"/>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hr-HR"/>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hr-HR"/>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93F13E1B-3109-4EEE-B459-ECCC9372CA4D}"/>
</file>

<file path=customXml/itemProps3.xml><?xml version="1.0" encoding="utf-8"?>
<ds:datastoreItem xmlns:ds="http://schemas.openxmlformats.org/officeDocument/2006/customXml" ds:itemID="{2A7FA664-D290-4F05-8098-65AA8CFBB0AB}"/>
</file>

<file path=customXml/itemProps4.xml><?xml version="1.0" encoding="utf-8"?>
<ds:datastoreItem xmlns:ds="http://schemas.openxmlformats.org/officeDocument/2006/customXml" ds:itemID="{F4FEC3CC-1339-4B1B-9415-74EEF892B834}"/>
</file>

<file path=docProps/app.xml><?xml version="1.0" encoding="utf-8"?>
<Properties xmlns="http://schemas.openxmlformats.org/officeDocument/2006/extended-properties" xmlns:vt="http://schemas.openxmlformats.org/officeDocument/2006/docPropsVTypes">
  <Template>Normal</Template>
  <TotalTime>0</TotalTime>
  <Pages>5</Pages>
  <Words>1874</Words>
  <Characters>10552</Characters>
  <Application>Microsoft Office Word</Application>
  <DocSecurity>0</DocSecurity>
  <Lines>239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2024-10-04T14:40:00Z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2024-10-04T14:40:39Z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90b61e1c-9466-4599-b149-54d0462264e7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